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6A0" w:rsidRPr="002F06A0" w:rsidRDefault="002F06A0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2F06A0">
        <w:rPr>
          <w:rFonts w:ascii="MyriadPro-Cond" w:hAnsi="MyriadPro-Cond"/>
          <w:b/>
          <w:color w:val="292929"/>
          <w:shd w:val="clear" w:color="auto" w:fill="F8F8F8"/>
        </w:rPr>
        <w:t>NGÀY ĐĂNG KÝ CUỐI CÙNG TRẢ CỔ PHIẾU THƯỞNG CHO CỔ</w:t>
      </w:r>
      <w:r>
        <w:rPr>
          <w:rFonts w:ascii="MyriadPro-Cond" w:hAnsi="MyriadPro-Cond"/>
          <w:b/>
          <w:color w:val="292929"/>
          <w:shd w:val="clear" w:color="auto" w:fill="F8F8F8"/>
        </w:rPr>
        <w:t xml:space="preserve"> Đ</w:t>
      </w:r>
      <w:r w:rsidRPr="002F06A0">
        <w:rPr>
          <w:rFonts w:ascii="MyriadPro-Cond" w:hAnsi="MyriadPro-Cond"/>
          <w:b/>
          <w:color w:val="292929"/>
          <w:shd w:val="clear" w:color="auto" w:fill="F8F8F8"/>
        </w:rPr>
        <w:t>ÔNG HIỆN HỮU</w:t>
      </w:r>
    </w:p>
    <w:bookmarkEnd w:id="0"/>
    <w:p w:rsidR="00BB290E" w:rsidRDefault="002F06A0">
      <w:proofErr w:type="spellStart"/>
      <w:r>
        <w:rPr>
          <w:rFonts w:ascii="MyriadPro-Cond" w:hAnsi="MyriadPro-Cond"/>
          <w:color w:val="292929"/>
          <w:shd w:val="clear" w:color="auto" w:fill="F8F8F8"/>
        </w:rPr>
        <w:t>Thông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cuối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cùng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lập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danh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sách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đối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với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LBE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CTCP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Sách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và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Thiết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bị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Trường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học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Long An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như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1.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cuối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cùng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31/01/2023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2.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hưởng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quyền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30/01/2023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3.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do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và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mục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đích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     *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thưởng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hữu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          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11:9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chốt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danh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sách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để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quyền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,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hữu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11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được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nhận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thêm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09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mới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          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làm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tròn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,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xử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lẻ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phát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hành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hữu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để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vốn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từ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nguồn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vốn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chủ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hữu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được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làm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tròn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xuống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hàng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vị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,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lẻ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thập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có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)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được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hủy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bỏ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.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          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làm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tròn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,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xử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lẻ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Ví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Vào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chốt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danh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sách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để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quyền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nhận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,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Nguyễn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Văn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A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hữu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115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,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theo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11:9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được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nhận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thêm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là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115*(9/11)=94,09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mới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. Theo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xử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,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Nguyễn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Văn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A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được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nhận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làm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tròn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xuống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hàng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vị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là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94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mới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,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0,09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lẻ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bị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hủy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bỏ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.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          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Địa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điểm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               +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chưa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Người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hữu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làm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thủ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tục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nhận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phát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hành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do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vốn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từ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nguồn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vốn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chủ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hữu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CTCP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Sách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và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Thiết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bị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trường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học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Long An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39 Hai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Bà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,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Phường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1,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TP.Tân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An, Long An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vào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làm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việc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trong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tuần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từ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thứ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hai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thứ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sáu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.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               +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Người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hữu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làm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thủ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tục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nhận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phát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hành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do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vốn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từ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nguồn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vốn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chủ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hữu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Thành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viên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tài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khoản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.</w:t>
      </w:r>
    </w:p>
    <w:sectPr w:rsidR="00BB2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A0"/>
    <w:rsid w:val="002F06A0"/>
    <w:rsid w:val="00BB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7F9CD"/>
  <w15:chartTrackingRefBased/>
  <w15:docId w15:val="{E8ACA61A-9F6A-488B-9D45-34A6C71E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2024-12-26T10:13:00Z</dcterms:created>
  <dcterms:modified xsi:type="dcterms:W3CDTF">2024-12-26T10:15:00Z</dcterms:modified>
</cp:coreProperties>
</file>