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EF" w:rsidRPr="008454EF" w:rsidRDefault="008454EF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8454EF">
        <w:rPr>
          <w:rFonts w:ascii="MyriadPro-Cond" w:hAnsi="MyriadPro-Cond"/>
          <w:b/>
          <w:color w:val="292929"/>
          <w:shd w:val="clear" w:color="auto" w:fill="F8F8F8"/>
        </w:rPr>
        <w:t>NGUYỄN HOÀNG YẾN NHI KHÔNG CÒN LÀ CỔ ĐÔNG LỚN</w:t>
      </w:r>
    </w:p>
    <w:bookmarkEnd w:id="0"/>
    <w:p w:rsidR="00154881" w:rsidRDefault="008454EF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212.000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10,6%)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115.000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97.000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4,85%)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24/07/2023.</w:t>
      </w:r>
    </w:p>
    <w:sectPr w:rsidR="00154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EF"/>
    <w:rsid w:val="00154881"/>
    <w:rsid w:val="008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76B0"/>
  <w15:chartTrackingRefBased/>
  <w15:docId w15:val="{84D5B267-E561-46A6-9E45-536E29A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2024-12-26T08:54:00Z</dcterms:created>
  <dcterms:modified xsi:type="dcterms:W3CDTF">2024-12-26T08:55:00Z</dcterms:modified>
</cp:coreProperties>
</file>