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BC" w:rsidRPr="001562BC" w:rsidRDefault="001562BC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1562BC">
        <w:rPr>
          <w:rFonts w:ascii="MyriadPro-Cond" w:hAnsi="MyriadPro-Cond"/>
          <w:b/>
          <w:color w:val="292929"/>
          <w:shd w:val="clear" w:color="auto" w:fill="F8F8F8"/>
        </w:rPr>
        <w:t>TRẦN THỊ THÚY LINH-KẾ TOÁN TRƯỞNG-ĐÃ BÁN 2.500CP</w:t>
      </w:r>
    </w:p>
    <w:bookmarkEnd w:id="0"/>
    <w:p w:rsidR="00A66722" w:rsidRDefault="001562BC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trưởng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2.545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0,13%)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2.545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45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19/05/2023.</w:t>
      </w:r>
    </w:p>
    <w:sectPr w:rsidR="00A66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BC"/>
    <w:rsid w:val="001562BC"/>
    <w:rsid w:val="00A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F006"/>
  <w15:chartTrackingRefBased/>
  <w15:docId w15:val="{19961194-DF32-45E4-BEE3-F7A2FF9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2024-12-26T07:18:00Z</dcterms:created>
  <dcterms:modified xsi:type="dcterms:W3CDTF">2024-12-26T07:19:00Z</dcterms:modified>
</cp:coreProperties>
</file>