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85C" w:rsidRPr="00C1085C" w:rsidRDefault="00C1085C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C1085C">
        <w:rPr>
          <w:rFonts w:ascii="MyriadPro-Cond" w:hAnsi="MyriadPro-Cond"/>
          <w:b/>
          <w:color w:val="292929"/>
          <w:shd w:val="clear" w:color="auto" w:fill="F8F8F8"/>
        </w:rPr>
        <w:t>LÊ THỊ LUYẾN KHÔNG CÒN LÀ CỔ ĐÔNG LỚN</w:t>
      </w:r>
    </w:p>
    <w:bookmarkEnd w:id="0"/>
    <w:p w:rsidR="00C1085C" w:rsidRDefault="00C1085C">
      <w:pPr>
        <w:rPr>
          <w:rFonts w:ascii="MyriadPro-Cond" w:hAnsi="MyriadPro-Cond"/>
          <w:color w:val="292929"/>
          <w:shd w:val="clear" w:color="auto" w:fill="F8F8F8"/>
        </w:rPr>
      </w:pPr>
    </w:p>
    <w:p w:rsidR="00250081" w:rsidRDefault="00C1085C">
      <w:r>
        <w:rPr>
          <w:rFonts w:ascii="MyriadPro-Cond" w:hAnsi="MyriadPro-Cond"/>
          <w:color w:val="292929"/>
          <w:shd w:val="clear" w:color="auto" w:fill="F8F8F8"/>
        </w:rPr>
        <w:t>- Tên cá nhân thực hiện giao dịch: Lê Thị Luyến- Mã chứng khoán: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trước khi thực hiện giao dịch: 163.200 CP (tỷ lệ 14,89%)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đã bán: 163.200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sau khi thực hiện giao dịch: 0 CP (tỷ lệ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không còn là cổ đông lớn: 16/07/2019.</w:t>
      </w:r>
    </w:p>
    <w:sectPr w:rsidR="00250081" w:rsidSect="00E8191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5C"/>
    <w:rsid w:val="00250081"/>
    <w:rsid w:val="00C1085C"/>
    <w:rsid w:val="00E8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2F4B9"/>
  <w15:chartTrackingRefBased/>
  <w15:docId w15:val="{22B325E5-9843-494F-A083-AB19559F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272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2024-12-20T09:59:00Z</dcterms:created>
  <dcterms:modified xsi:type="dcterms:W3CDTF">2024-12-20T10:00:00Z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31ae74a6-e9d5-415f-a3e8-69fa22a44d97</vt:lpwstr>
  </property>
</Properties>
</file>